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92CD" w14:textId="77777777" w:rsidR="00104B79" w:rsidRPr="00AF33DB" w:rsidRDefault="00270783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5"/>
        </w:rPr>
        <w:t>Name</w:t>
      </w:r>
      <w:r w:rsidR="000D3C44" w:rsidRPr="00AF33DB">
        <w:rPr>
          <w:rFonts w:ascii="Times New Roman" w:hAnsi="Times New Roman" w:cs="Times New Roman"/>
          <w:spacing w:val="-1"/>
          <w:w w:val="95"/>
        </w:rPr>
        <w:t>:</w:t>
      </w:r>
      <w:r>
        <w:rPr>
          <w:rFonts w:ascii="Times New Roman" w:hAnsi="Times New Roman" w:cs="Times New Roman"/>
          <w:spacing w:val="-1"/>
          <w:w w:val="95"/>
          <w:u w:val="single" w:color="000000"/>
        </w:rPr>
        <w:t>_________________________________________________</w:t>
      </w:r>
    </w:p>
    <w:p w14:paraId="7528BBA1" w14:textId="77777777" w:rsidR="00104B79" w:rsidRPr="00270783" w:rsidRDefault="00F216EF">
      <w:pPr>
        <w:spacing w:before="43"/>
        <w:ind w:right="356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pacing w:val="-1"/>
          <w:sz w:val="32"/>
        </w:rPr>
        <w:t>Seventh</w:t>
      </w:r>
      <w:r w:rsidR="000D3C44" w:rsidRPr="00270783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Grade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z w:val="32"/>
        </w:rPr>
        <w:t>Math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AF33DB" w:rsidRPr="00270783">
        <w:rPr>
          <w:rFonts w:ascii="Times New Roman" w:hAnsi="Times New Roman" w:cs="Times New Roman"/>
          <w:b/>
          <w:sz w:val="32"/>
        </w:rPr>
        <w:t>OAS</w:t>
      </w:r>
      <w:r w:rsidR="000D3C44" w:rsidRPr="00270783">
        <w:rPr>
          <w:rFonts w:ascii="Times New Roman" w:hAnsi="Times New Roman" w:cs="Times New Roman"/>
          <w:b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Objectives</w:t>
      </w:r>
    </w:p>
    <w:p w14:paraId="36B304AD" w14:textId="77777777" w:rsidR="00104B79" w:rsidRPr="00270783" w:rsidRDefault="000D3C44">
      <w:pPr>
        <w:pStyle w:val="BodyText"/>
        <w:spacing w:before="51"/>
        <w:ind w:right="356"/>
        <w:jc w:val="center"/>
        <w:rPr>
          <w:rFonts w:ascii="Times New Roman" w:hAnsi="Times New Roman" w:cs="Times New Roman"/>
          <w:b/>
          <w:spacing w:val="-1"/>
        </w:rPr>
      </w:pPr>
      <w:r w:rsidRPr="00270783">
        <w:rPr>
          <w:rFonts w:ascii="Times New Roman" w:hAnsi="Times New Roman" w:cs="Times New Roman"/>
          <w:b/>
          <w:spacing w:val="-1"/>
        </w:rPr>
        <w:t>Standard</w:t>
      </w:r>
      <w:r w:rsidRPr="00270783">
        <w:rPr>
          <w:rFonts w:ascii="Times New Roman" w:hAnsi="Times New Roman" w:cs="Times New Roman"/>
          <w:b/>
          <w:spacing w:val="-3"/>
        </w:rPr>
        <w:t xml:space="preserve"> </w:t>
      </w:r>
      <w:r w:rsidRPr="00270783">
        <w:rPr>
          <w:rFonts w:ascii="Times New Roman" w:hAnsi="Times New Roman" w:cs="Times New Roman"/>
          <w:b/>
          <w:spacing w:val="-1"/>
        </w:rPr>
        <w:t>Based Report</w:t>
      </w:r>
      <w:r w:rsidR="00270783" w:rsidRPr="00270783">
        <w:rPr>
          <w:rFonts w:ascii="Times New Roman" w:hAnsi="Times New Roman" w:cs="Times New Roman"/>
          <w:b/>
          <w:spacing w:val="-1"/>
        </w:rPr>
        <w:t xml:space="preserve"> Card</w:t>
      </w:r>
    </w:p>
    <w:p w14:paraId="0D506FAD" w14:textId="77777777" w:rsidR="005E1890" w:rsidRDefault="005E1890" w:rsidP="005E1890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240" w:after="120" w:line="276" w:lineRule="auto"/>
        <w:ind w:left="90" w:right="1368"/>
        <w:jc w:val="right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Teacher: _______________________ </w:t>
      </w:r>
      <w:r>
        <w:rPr>
          <w:rFonts w:ascii="Times New Roman" w:hAnsi="Times New Roman" w:cs="Times New Roman"/>
          <w:spacing w:val="-1"/>
          <w:w w:val="95"/>
        </w:rPr>
        <w:t xml:space="preserve">School: </w:t>
      </w:r>
      <w:r>
        <w:rPr>
          <w:rFonts w:ascii="Times New Roman" w:hAnsi="Times New Roman" w:cs="Times New Roman"/>
          <w:w w:val="95"/>
        </w:rPr>
        <w:t>________________  Date: _________</w:t>
      </w:r>
    </w:p>
    <w:p w14:paraId="61D906CE" w14:textId="77777777" w:rsidR="005E1890" w:rsidRDefault="005E1890" w:rsidP="005E1890">
      <w:pPr>
        <w:spacing w:line="244" w:lineRule="exact"/>
        <w:ind w:right="36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=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Proficient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37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B = Basic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pacing w:val="3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BB = Below Basic</w:t>
      </w:r>
    </w:p>
    <w:p w14:paraId="6C18A9F5" w14:textId="77777777" w:rsidR="00104B79" w:rsidRPr="00AF33DB" w:rsidRDefault="00104B79">
      <w:pPr>
        <w:spacing w:before="12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13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7098"/>
        <w:gridCol w:w="466"/>
        <w:gridCol w:w="468"/>
        <w:gridCol w:w="468"/>
        <w:gridCol w:w="485"/>
      </w:tblGrid>
      <w:tr w:rsidR="00104B79" w:rsidRPr="00AF33DB" w14:paraId="203678E7" w14:textId="77777777" w:rsidTr="00C05F76">
        <w:trPr>
          <w:trHeight w:hRule="exact" w:val="384"/>
        </w:trPr>
        <w:tc>
          <w:tcPr>
            <w:tcW w:w="1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3D0CA0" w14:textId="77777777" w:rsidR="00104B79" w:rsidRPr="00270783" w:rsidRDefault="00AF33DB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061A09E8" w14:textId="77777777" w:rsidR="00104B79" w:rsidRPr="00270783" w:rsidRDefault="000D3C44">
            <w:pPr>
              <w:pStyle w:val="TableParagraph"/>
              <w:spacing w:before="2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Obj.#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5C705A" w14:textId="6296C641" w:rsidR="00104B79" w:rsidRPr="00C05F76" w:rsidRDefault="00C05F76" w:rsidP="00C05F7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Oklahoma Academic Standards (OAS)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Objective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Description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EFC6A" w14:textId="77777777" w:rsidR="00104B79" w:rsidRPr="00270783" w:rsidRDefault="000D3C44">
            <w:pPr>
              <w:pStyle w:val="TableParagraph"/>
              <w:spacing w:line="291" w:lineRule="exact"/>
              <w:ind w:left="35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Nine</w:t>
            </w:r>
            <w:r w:rsidRPr="00270783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Weeks</w:t>
            </w:r>
          </w:p>
        </w:tc>
      </w:tr>
      <w:tr w:rsidR="00104B79" w:rsidRPr="00AF33DB" w14:paraId="26FA0A09" w14:textId="77777777" w:rsidTr="00F775BC">
        <w:trPr>
          <w:trHeight w:hRule="exact" w:val="302"/>
        </w:trPr>
        <w:tc>
          <w:tcPr>
            <w:tcW w:w="1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8FC4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2F8C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E9A9E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EA5AC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7E25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0FEF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AF33DB" w14:paraId="7891187F" w14:textId="77777777" w:rsidTr="00D347F7">
        <w:trPr>
          <w:trHeight w:hRule="exact" w:val="507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FB650" w14:textId="77777777" w:rsidR="00104B79" w:rsidRPr="00AF33DB" w:rsidRDefault="00D347F7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7.N.1.1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1F9FF" w14:textId="77777777" w:rsidR="00104B79" w:rsidRPr="00270783" w:rsidRDefault="00D347F7" w:rsidP="00566E4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347F7">
              <w:rPr>
                <w:rFonts w:ascii="Times New Roman" w:eastAsia="Calibri" w:hAnsi="Times New Roman" w:cs="Times New Roman"/>
                <w:sz w:val="20"/>
                <w:szCs w:val="18"/>
              </w:rPr>
              <w:t>Know that every rational number can be written as the ratio of two integers or as a terminating or repeating decimal.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08AC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81C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C9E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F656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CACF3C9" w14:textId="77777777" w:rsidTr="00D347F7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5AD4E" w14:textId="77777777" w:rsidR="00104B79" w:rsidRPr="00AF33DB" w:rsidRDefault="00D347F7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7.N.1.2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67C33" w14:textId="77777777" w:rsidR="00104B79" w:rsidRPr="00270783" w:rsidRDefault="00D347F7" w:rsidP="00C2554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347F7">
              <w:rPr>
                <w:rFonts w:ascii="Times New Roman" w:eastAsia="Calibri" w:hAnsi="Times New Roman" w:cs="Times New Roman"/>
                <w:sz w:val="20"/>
                <w:szCs w:val="18"/>
              </w:rPr>
              <w:t>Compare and order rational numbers expressed in various forms using the symbols &lt;, &gt;, and =.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79BE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4AB8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611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7AEE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874988C" w14:textId="77777777" w:rsidTr="00D347F7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13E22" w14:textId="77777777" w:rsidR="00104B79" w:rsidRPr="00AF33DB" w:rsidRDefault="00D347F7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7.N.1.3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98F92" w14:textId="77777777" w:rsidR="00104B79" w:rsidRPr="00270783" w:rsidRDefault="00D347F7" w:rsidP="00C2554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347F7">
              <w:rPr>
                <w:rFonts w:ascii="Times New Roman" w:eastAsia="Calibri" w:hAnsi="Times New Roman" w:cs="Times New Roman"/>
                <w:sz w:val="20"/>
                <w:szCs w:val="18"/>
              </w:rPr>
              <w:t>Recognize and generate equivalent representations of rational num</w:t>
            </w:r>
            <w:bookmarkStart w:id="0" w:name="_GoBack"/>
            <w:bookmarkEnd w:id="0"/>
            <w:r w:rsidRPr="00D347F7">
              <w:rPr>
                <w:rFonts w:ascii="Times New Roman" w:eastAsia="Calibri" w:hAnsi="Times New Roman" w:cs="Times New Roman"/>
                <w:sz w:val="20"/>
                <w:szCs w:val="18"/>
              </w:rPr>
              <w:t>bers, including equivalent fractions.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5993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061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E05B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DF10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C77EC4F" w14:textId="77777777" w:rsidTr="00566E44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D0821" w14:textId="77777777" w:rsidR="00104B79" w:rsidRPr="00AF33DB" w:rsidRDefault="00D347F7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7.N.2.1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DA896" w14:textId="77777777" w:rsidR="00104B79" w:rsidRPr="00270783" w:rsidRDefault="00D347F7" w:rsidP="00C25540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347F7">
              <w:rPr>
                <w:rFonts w:ascii="Times New Roman" w:eastAsia="Calibri" w:hAnsi="Times New Roman" w:cs="Times New Roman"/>
                <w:sz w:val="20"/>
                <w:szCs w:val="18"/>
              </w:rPr>
              <w:t>Estimate solutions to multiplication and division of integers in order to assess the reasonableness of results.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9711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436B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4605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396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1406675" w14:textId="77777777" w:rsidTr="00D347F7">
        <w:trPr>
          <w:trHeight w:hRule="exact" w:val="27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140C7" w14:textId="77777777" w:rsidR="00104B79" w:rsidRPr="00AF33DB" w:rsidRDefault="00D347F7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7.N.2.2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0754" w14:textId="77777777" w:rsidR="00104B79" w:rsidRPr="00270783" w:rsidRDefault="00D347F7" w:rsidP="007A74AE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347F7">
              <w:rPr>
                <w:rFonts w:ascii="Times New Roman" w:eastAsia="Calibri" w:hAnsi="Times New Roman" w:cs="Times New Roman"/>
                <w:sz w:val="20"/>
                <w:szCs w:val="18"/>
              </w:rPr>
              <w:t>Illustrate multiplication and division of integers using a variety of representations.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173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F3B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DD58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531B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687BA79" w14:textId="77777777" w:rsidTr="00BF5579">
        <w:trPr>
          <w:trHeight w:hRule="exact" w:val="71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78CD0" w14:textId="77777777" w:rsidR="00104B79" w:rsidRPr="00AF33DB" w:rsidRDefault="00D347F7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7.N.2.3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2007E" w14:textId="77777777" w:rsidR="00104B79" w:rsidRPr="00270783" w:rsidRDefault="00D347F7" w:rsidP="00D347F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D347F7">
              <w:rPr>
                <w:rFonts w:ascii="Times New Roman" w:eastAsia="Calibri" w:hAnsi="Times New Roman" w:cs="Times New Roman"/>
                <w:sz w:val="20"/>
                <w:szCs w:val="18"/>
              </w:rPr>
              <w:t>Solve real-world and mathematical problems involving addition, subtraction, multiplication and division of rati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onal numbers; use efficient and </w:t>
            </w:r>
            <w:r w:rsidRPr="00D347F7">
              <w:rPr>
                <w:rFonts w:ascii="Times New Roman" w:eastAsia="Calibri" w:hAnsi="Times New Roman" w:cs="Times New Roman"/>
                <w:sz w:val="20"/>
                <w:szCs w:val="18"/>
              </w:rPr>
              <w:t>generalizable procedures including but not limited to standard algorithms.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9E89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BFA3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9D26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9F13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9EC079D" w14:textId="77777777" w:rsidTr="00307927">
        <w:trPr>
          <w:trHeight w:hRule="exact" w:val="27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99896" w14:textId="77777777" w:rsidR="00104B79" w:rsidRPr="00AF33DB" w:rsidRDefault="00D347F7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7.N.2.4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8A28" w14:textId="77777777" w:rsidR="00104B79" w:rsidRPr="00270783" w:rsidRDefault="0030792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Raise integers to positive integer exponents.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40E4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57DD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A2B4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A174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C8A575A" w14:textId="77777777" w:rsidTr="00FD316E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CDF70" w14:textId="77777777" w:rsidR="00104B79" w:rsidRPr="00AF33DB" w:rsidRDefault="00D347F7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7.N.2.5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49784" w14:textId="77777777" w:rsidR="00104B79" w:rsidRPr="00270783" w:rsidRDefault="00307927" w:rsidP="00307927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Solve real-world and mathematical problems involving calculations with rational numbers and positive integer exponents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75E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8D55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C595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B70F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ACEEA73" w14:textId="77777777" w:rsidTr="00307927">
        <w:trPr>
          <w:trHeight w:hRule="exact" w:val="72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5EF70" w14:textId="77777777" w:rsidR="00104B79" w:rsidRPr="00AF33DB" w:rsidRDefault="00D347F7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7.N.2.6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F6A11" w14:textId="77777777" w:rsidR="00104B79" w:rsidRPr="00270783" w:rsidRDefault="00307927" w:rsidP="00307927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Explain the relationship between the absolute value of a rational number and the distance of that number from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zero on a number line. Use the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symbol for absolute value.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4C18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0359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5103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DB7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3C1FCB4" w14:textId="77777777" w:rsidTr="00307927">
        <w:trPr>
          <w:trHeight w:hRule="exact" w:val="117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51A89" w14:textId="77777777" w:rsidR="00104B79" w:rsidRPr="00AF33DB" w:rsidRDefault="00D347F7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7.A.1.1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F506" w14:textId="77777777" w:rsidR="00104B79" w:rsidRPr="00270783" w:rsidRDefault="00307927" w:rsidP="00307927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Describe that the relationship between two variables, x and y, is proportional if it can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be expressed in the form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1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18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18"/>
                    </w:rPr>
                    <m:t>x</m:t>
                  </m:r>
                </m:den>
              </m:f>
            </m:oMath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= k or y = </w:t>
            </w:r>
            <w:proofErr w:type="spellStart"/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kx</w:t>
            </w:r>
            <w:proofErr w:type="spellEnd"/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; distinguish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proportional relationships from other relationships, including inversely proportional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relationships (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xy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= k or y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1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18"/>
                    </w:rPr>
                    <m:t>k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18"/>
                    </w:rPr>
                    <m:t>x</m:t>
                  </m:r>
                </m:den>
              </m:f>
            </m:oMath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FDFA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4599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F81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30BA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48BF2D6" w14:textId="77777777" w:rsidTr="00307927">
        <w:trPr>
          <w:trHeight w:hRule="exact" w:val="81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375E" w14:textId="77777777" w:rsidR="00104B79" w:rsidRPr="00AF33DB" w:rsidRDefault="00D347F7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7.A.1.2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0F0E9" w14:textId="77777777" w:rsidR="00104B79" w:rsidRPr="00270783" w:rsidRDefault="00307927" w:rsidP="00307927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Recognize that the graph of a proportional relationship is a line through the origin and the coordinate (1, </w:t>
            </w:r>
            <w:r w:rsidRPr="00307927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r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), where both </w:t>
            </w:r>
            <w:r w:rsidRPr="00307927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r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and the slope are the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unit rate (constant of proportionality, </w:t>
            </w:r>
            <w:r w:rsidRPr="00307927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k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6D35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783E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B3A8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2686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C9F6320" w14:textId="77777777" w:rsidTr="00307927">
        <w:trPr>
          <w:trHeight w:hRule="exact" w:val="98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FD728" w14:textId="77777777" w:rsidR="00104B79" w:rsidRPr="00AF33DB" w:rsidRDefault="00D347F7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7.A.2.1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DE415" w14:textId="77777777" w:rsidR="00104B79" w:rsidRPr="00270783" w:rsidRDefault="00307927" w:rsidP="0030792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Represent proportional relationships with tables, verbal descriptions, symbols, and graphs; translate from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one representation to another.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Determine and compare the unit rate (constant of proportionality, slope, or rate of change) given any of these representations.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3EF9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A63C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24B1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7A48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E697524" w14:textId="77777777" w:rsidTr="00307927">
        <w:trPr>
          <w:trHeight w:hRule="exact" w:val="72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A902C" w14:textId="77777777" w:rsidR="00104B79" w:rsidRPr="00AF33DB" w:rsidRDefault="00D347F7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7.A.2.2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9E81D" w14:textId="77777777" w:rsidR="00104B79" w:rsidRPr="00270783" w:rsidRDefault="00307927" w:rsidP="00307927">
            <w:pPr>
              <w:pStyle w:val="TableParagraph"/>
              <w:ind w:left="102" w:right="32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Solve multi-step problems involving proportional relationships involving distance-time, percent increase or decrease,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discounts, tips, unit pricing,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similar figures, and other real-world and mathematical situations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A6B6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6A06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4C81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DF70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6397284" w14:textId="77777777" w:rsidTr="00307927">
        <w:trPr>
          <w:trHeight w:hRule="exact" w:val="45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E47C" w14:textId="77777777" w:rsidR="00104B79" w:rsidRPr="00AF33DB" w:rsidRDefault="00D347F7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7.A.2.3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D3B65" w14:textId="77777777" w:rsidR="00104B79" w:rsidRPr="00270783" w:rsidRDefault="00307927" w:rsidP="008E3718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Use proportional reasoning to solve real-world and mathematical problems involving ratios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5D1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B4B0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8DC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1E2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5CE67C6" w14:textId="77777777" w:rsidTr="00307927">
        <w:trPr>
          <w:trHeight w:hRule="exact" w:val="35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F0F8" w14:textId="77777777" w:rsidR="00104B79" w:rsidRPr="00AF33DB" w:rsidRDefault="00D347F7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7.A.2.4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B2AB7" w14:textId="77777777" w:rsidR="00104B79" w:rsidRPr="00270783" w:rsidRDefault="00307927" w:rsidP="008E3718">
            <w:pPr>
              <w:pStyle w:val="TableParagraph"/>
              <w:ind w:left="102" w:right="601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Use proportional reasoning to assess the reasonableness of solutions.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2996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3E5F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A6E5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7636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71AE98A" w14:textId="77777777" w:rsidTr="007A74AE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FF796" w14:textId="77777777" w:rsidR="009627B4" w:rsidRPr="00AF33DB" w:rsidRDefault="00D347F7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7.A.3.1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1B78" w14:textId="77777777" w:rsidR="00104B79" w:rsidRPr="00270783" w:rsidRDefault="00307927" w:rsidP="00307927">
            <w:pPr>
              <w:pStyle w:val="TableParagraph"/>
              <w:ind w:left="102" w:right="63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Write and solve problems leading to linear equations with one variable in the form </w:t>
            </w:r>
            <w:r w:rsidRPr="00307927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px + q = r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</w:t>
            </w:r>
            <w:r w:rsidRPr="00307927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p(x + q) = r,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where </w:t>
            </w:r>
            <w:r w:rsidRPr="00307927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p, q, and </w:t>
            </w:r>
            <w:proofErr w:type="spellStart"/>
            <w:r w:rsidRPr="00307927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r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are</w:t>
            </w:r>
            <w:proofErr w:type="spellEnd"/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rational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numbers.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CAC9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659E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3B11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E4FD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7F0C421" w14:textId="77777777" w:rsidTr="008E3718">
        <w:trPr>
          <w:trHeight w:hRule="exact" w:val="732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E3092" w14:textId="77777777" w:rsidR="00104B79" w:rsidRPr="00AF33DB" w:rsidRDefault="00D347F7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7.A.3.2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A17EB" w14:textId="77777777" w:rsidR="00104B79" w:rsidRPr="00270783" w:rsidRDefault="00307927" w:rsidP="0030792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Represent, write, solve, and graph problems leading to linear inequalities with one variable in the form </w:t>
            </w:r>
            <w:r w:rsidRPr="00307927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x + p &gt; q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</w:t>
            </w:r>
            <w:r w:rsidRPr="00307927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x + p &lt; q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where </w:t>
            </w:r>
            <w:r w:rsidRPr="00307927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p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and </w:t>
            </w:r>
            <w:r w:rsidRPr="00307927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q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are nonnegative rational numbers.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48C2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0AE3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796B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FF0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E124428" w14:textId="77777777" w:rsidTr="00307927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0E0E2" w14:textId="77777777" w:rsidR="00104B79" w:rsidRPr="00AF33DB" w:rsidRDefault="00D347F7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7.A.3.3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00F19" w14:textId="77777777" w:rsidR="00104B79" w:rsidRPr="00270783" w:rsidRDefault="00307927" w:rsidP="00307927">
            <w:pPr>
              <w:pStyle w:val="TableParagraph"/>
              <w:ind w:left="90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Represent real-world or mathematical situations using equations and inequalities involving variables and rational numbers.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0197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E770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8036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68BE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0CEF232" w14:textId="77777777" w:rsidTr="00FF2D4F">
        <w:trPr>
          <w:trHeight w:hRule="exact" w:val="72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D9C8F" w14:textId="77777777" w:rsidR="00104B79" w:rsidRPr="00AF33DB" w:rsidRDefault="00D347F7" w:rsidP="00F775BC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7.A.4.1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BCE52" w14:textId="77777777" w:rsidR="00104B79" w:rsidRPr="00270783" w:rsidRDefault="00307927" w:rsidP="0030792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Use properties of operations (limited to associative, commutative, and distributive) to generate equivalent nume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rical and algebraic expressions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containing rational numbers, grouping symbols and whole number exponents.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71EB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474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5E8E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CBE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410276A" w14:textId="77777777" w:rsidTr="00307927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587A" w14:textId="77777777" w:rsidR="00104B79" w:rsidRPr="00AF33DB" w:rsidRDefault="00D347F7" w:rsidP="00F775BC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7.A.4.2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54B3D" w14:textId="77777777" w:rsidR="00104B79" w:rsidRPr="00270783" w:rsidRDefault="00307927" w:rsidP="00FF2D4F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Apply understanding of order of operations and grouping symbols when using calculators and other technologies.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4340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C0A3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FCEF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D44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3A855DB" w14:textId="77777777" w:rsidTr="00307927">
        <w:trPr>
          <w:trHeight w:hRule="exact" w:val="99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5113C" w14:textId="77777777" w:rsidR="00104B79" w:rsidRPr="00AF33DB" w:rsidRDefault="00D347F7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7.GM.1.1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2EADC" w14:textId="77777777" w:rsidR="00104B79" w:rsidRPr="00307927" w:rsidRDefault="00307927" w:rsidP="0030792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Using a variety of tools and strategies, develop the concept that surface area of a rectangular prism with rati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onal-valued edge lengths can be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found by wrapping the figure with same-sized square units without gaps or overlap. Use appropriate measurements such as cm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8DF5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E3D7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8E51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A25C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3802349" w14:textId="77777777" w:rsidTr="00307927">
        <w:trPr>
          <w:trHeight w:hRule="exact" w:val="98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711F" w14:textId="77777777" w:rsidR="00104B79" w:rsidRPr="00AF33DB" w:rsidRDefault="00D347F7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7.GM.1.2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AA5CC" w14:textId="77777777" w:rsidR="00307927" w:rsidRPr="00307927" w:rsidRDefault="00307927" w:rsidP="0030792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Using a variety of tools and strategies, develop the concept that the volume of rectangular prisms with rati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onal-valued edge lengths can be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found by counting the total number of same-sized unit cubes that fill a shape without gaps or overlaps. Use appropriate measurements such as cm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  <w:p w14:paraId="0AE786C3" w14:textId="77777777" w:rsidR="00104B79" w:rsidRPr="00270783" w:rsidRDefault="00307927" w:rsidP="0030792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99FD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69D8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61F6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EB62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C2B96BC" w14:textId="77777777" w:rsidTr="00307927">
        <w:trPr>
          <w:trHeight w:hRule="exact" w:val="36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664E3" w14:textId="77777777" w:rsidR="00104B79" w:rsidRPr="00AF33DB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7.GM.2.1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9293C" w14:textId="77777777" w:rsidR="00104B79" w:rsidRPr="00270783" w:rsidRDefault="00307927" w:rsidP="00FF2D4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Develop and use the formula to determine the area of a trapezoid to solve problems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DBA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A956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1E7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609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1A38BC24" w14:textId="77777777" w:rsidTr="00FF2D4F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72E6" w14:textId="77777777" w:rsidR="00F775BC" w:rsidRPr="00AF33DB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7.GM.2.2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EE222" w14:textId="77777777" w:rsidR="00F775BC" w:rsidRPr="00270783" w:rsidRDefault="00307927" w:rsidP="00FF2D4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Find the area and perimeter of composite figures to solve real-world and mathematical problems.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60081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E19A5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AC567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3E0ED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61C25BAE" w14:textId="77777777" w:rsidTr="00307927">
        <w:trPr>
          <w:trHeight w:hRule="exact" w:val="89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674F7" w14:textId="77777777" w:rsidR="00F775BC" w:rsidRPr="00AF33DB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7.GM.3.1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F0EF" w14:textId="77777777" w:rsidR="00F775BC" w:rsidRPr="00270783" w:rsidRDefault="00307927" w:rsidP="00307927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Demonstrate an understanding of the proportional relationship between the diameter and circumference of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a circle and that the unit rate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(constant of proportionality) is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18"/>
                </w:rPr>
                <m:t>π</m:t>
              </m:r>
            </m:oMath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can be approximated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by rational numbers such as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1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18"/>
                    </w:rPr>
                    <m:t>22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18"/>
                    </w:rPr>
                    <m:t>7</m:t>
                  </m:r>
                </m:den>
              </m:f>
            </m:oMath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3.14.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4EC6C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EBEC7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C671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9120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315BCB36" w14:textId="77777777" w:rsidTr="00307927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00FE" w14:textId="77777777" w:rsidR="00F775BC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7.GM.3.2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707DB" w14:textId="77777777" w:rsidR="00F775BC" w:rsidRPr="00270783" w:rsidRDefault="00307927" w:rsidP="00FF2D4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Calculate the circumference and area of circles to solve problems in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various contexts, in terms of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18"/>
                </w:rPr>
                <m:t>π</m:t>
              </m:r>
            </m:oMath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using approximations for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18"/>
                </w:rPr>
                <m:t>π</m:t>
              </m:r>
            </m:oMath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558DE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FD3E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5D6AB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918DD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5DFCA6D0" w14:textId="77777777" w:rsidTr="00654C1F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FAE96" w14:textId="77777777" w:rsidR="00F775BC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7.GM.4.1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96D6A" w14:textId="77777777" w:rsidR="00F775BC" w:rsidRPr="00270783" w:rsidRDefault="00307927" w:rsidP="00FF2D4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Describe the properties of similarity, compare geometric figures for similarity, and determine scale factors resulting from dilations.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2279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240D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D68FD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1B4A9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2730E556" w14:textId="77777777" w:rsidTr="00307927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8574C" w14:textId="77777777" w:rsidR="00F775BC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7.GM.4.2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9E15E" w14:textId="77777777" w:rsidR="00F775BC" w:rsidRPr="00270783" w:rsidRDefault="00307927" w:rsidP="00307927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Apply proportions, ratios, and scale factors to solve problems involving scale drawings and determine si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de lengths and areas of similar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triangles and rectangles.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79610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49F28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A95FA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86680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15E8B83E" w14:textId="77777777" w:rsidTr="00307927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AEDDC" w14:textId="77777777" w:rsidR="00F775BC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7.GM.4.3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CDAF" w14:textId="77777777" w:rsidR="00F775BC" w:rsidRPr="00270783" w:rsidRDefault="00307927" w:rsidP="00307927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Graph and describe translations and reflections of figures on a coordinate plane and determine the coordinate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 of the vertices of the figure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after the transformation.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6BEB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598E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E5A7B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1D58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213AE2" w:rsidRPr="00AF33DB" w14:paraId="525F61FD" w14:textId="77777777" w:rsidTr="00FF2D4F">
        <w:trPr>
          <w:trHeight w:hRule="exact" w:val="81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0EF1A" w14:textId="77777777" w:rsidR="00213AE2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7.D.1.1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845A" w14:textId="77777777" w:rsidR="00213AE2" w:rsidRPr="00270783" w:rsidRDefault="00307927" w:rsidP="00307927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proofErr w:type="gramStart"/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Design simple experiments,</w:t>
            </w:r>
            <w:proofErr w:type="gramEnd"/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collect data and calculate measures of central tendency (mean, median, and mode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) and spread (range). Use these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quantities to draw conclusions about the data collected and make predictions.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2440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E5D87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6D950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BA0A9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</w:tr>
      <w:tr w:rsidR="00213AE2" w:rsidRPr="00AF33DB" w14:paraId="681FDD1E" w14:textId="77777777" w:rsidTr="00307927">
        <w:trPr>
          <w:trHeight w:hRule="exact" w:val="80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F04A6" w14:textId="77777777" w:rsidR="00213AE2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7.D.1.2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10B2" w14:textId="77777777" w:rsidR="00213AE2" w:rsidRPr="00270783" w:rsidRDefault="00307927" w:rsidP="00307927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Use reasoning with proportions to display and interpret data in circle graphs (pie charts) and histograms. Choose the appropriate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data display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and know how to create the display using a spreadsheet or other graphing technology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765F0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E89F8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FCA95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B87A7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</w:tr>
      <w:tr w:rsidR="00213AE2" w:rsidRPr="00AF33DB" w14:paraId="0579EBEA" w14:textId="77777777" w:rsidTr="00307927">
        <w:trPr>
          <w:trHeight w:hRule="exact" w:val="72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2C4BB" w14:textId="77777777" w:rsidR="00213AE2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7.D.2.1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204F0" w14:textId="77777777" w:rsidR="00213AE2" w:rsidRPr="00270783" w:rsidRDefault="00307927" w:rsidP="00307927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Determine the theoretical probability of an event using the ratio between the size of the event and the size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of the sample space; represent </w:t>
            </w: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probabilities as </w:t>
            </w:r>
            <w:proofErr w:type="spellStart"/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percents</w:t>
            </w:r>
            <w:proofErr w:type="spellEnd"/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, fractions and decimals between 0 and 1.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43E36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5AFB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64651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8A48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</w:tr>
      <w:tr w:rsidR="00213AE2" w:rsidRPr="00AF33DB" w14:paraId="1482E76B" w14:textId="77777777" w:rsidTr="00307927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C17DF" w14:textId="77777777" w:rsidR="00213AE2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7.D.2.2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91C4" w14:textId="77777777" w:rsidR="00213AE2" w:rsidRPr="00270783" w:rsidRDefault="00307927" w:rsidP="00FF2D4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Calculate probability as a fraction of sample space or as a fraction of area. Express probabilities as </w:t>
            </w:r>
            <w:proofErr w:type="spellStart"/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percents</w:t>
            </w:r>
            <w:proofErr w:type="spellEnd"/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, decimals and fractions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0D82E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23D98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1C4BD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5C4D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</w:tr>
      <w:tr w:rsidR="00213AE2" w:rsidRPr="00AF33DB" w14:paraId="7E815F4A" w14:textId="77777777" w:rsidTr="00307927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4A7A5" w14:textId="77777777" w:rsidR="00213AE2" w:rsidRDefault="00D347F7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7.D.2.3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0527C" w14:textId="77777777" w:rsidR="00213AE2" w:rsidRPr="00270783" w:rsidRDefault="00307927" w:rsidP="00FF2D4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07927">
              <w:rPr>
                <w:rFonts w:ascii="Times New Roman" w:eastAsia="Calibri" w:hAnsi="Times New Roman" w:cs="Times New Roman"/>
                <w:sz w:val="20"/>
                <w:szCs w:val="18"/>
              </w:rPr>
              <w:t>Use proportional reasoning to draw conclusions about and predict relative frequencies of outcomes based on probabilities.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94E77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408E5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5EE9D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FEA6E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</w:tr>
    </w:tbl>
    <w:p w14:paraId="07D050CE" w14:textId="77777777" w:rsidR="00C05F76" w:rsidRDefault="00C05F76" w:rsidP="00C05F76">
      <w:pPr>
        <w:spacing w:before="240" w:line="193" w:lineRule="exact"/>
        <w:ind w:left="22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pacing w:val="-1"/>
          <w:sz w:val="16"/>
          <w:szCs w:val="16"/>
        </w:rPr>
        <w:t>●</w:t>
      </w:r>
      <w:r>
        <w:t xml:space="preserve"> </w:t>
      </w:r>
      <w:r>
        <w:rPr>
          <w:rFonts w:ascii="Times New Roman" w:eastAsia="Calibri" w:hAnsi="Times New Roman" w:cs="Times New Roman"/>
          <w:spacing w:val="-1"/>
          <w:sz w:val="18"/>
          <w:szCs w:val="16"/>
        </w:rPr>
        <w:t>Unmarked boxes in the table are objectives that had not been assessed as of report date.</w:t>
      </w:r>
    </w:p>
    <w:p w14:paraId="3DA9330C" w14:textId="77777777" w:rsidR="00104B79" w:rsidRPr="00AF33DB" w:rsidRDefault="00104B79">
      <w:pPr>
        <w:rPr>
          <w:rFonts w:ascii="Times New Roman" w:eastAsia="Calibri" w:hAnsi="Times New Roman" w:cs="Times New Roman"/>
          <w:sz w:val="20"/>
          <w:szCs w:val="20"/>
        </w:rPr>
      </w:pPr>
    </w:p>
    <w:p w14:paraId="1F182EA0" w14:textId="77777777" w:rsidR="00104B79" w:rsidRPr="00AF33DB" w:rsidRDefault="00104B79">
      <w:pPr>
        <w:rPr>
          <w:rFonts w:ascii="Times New Roman" w:eastAsia="Calibri" w:hAnsi="Times New Roman" w:cs="Times New Roman"/>
          <w:sz w:val="20"/>
          <w:szCs w:val="20"/>
        </w:rPr>
      </w:pPr>
    </w:p>
    <w:p w14:paraId="7DC16CBD" w14:textId="77777777" w:rsidR="00104B79" w:rsidRDefault="00104B79">
      <w:pPr>
        <w:spacing w:before="7"/>
        <w:rPr>
          <w:rFonts w:ascii="Calibri" w:eastAsia="Calibri" w:hAnsi="Calibri" w:cs="Calibri"/>
          <w:sz w:val="19"/>
          <w:szCs w:val="19"/>
        </w:rPr>
      </w:pPr>
    </w:p>
    <w:sectPr w:rsidR="00104B79" w:rsidSect="00270783">
      <w:headerReference w:type="default" r:id="rId6"/>
      <w:footerReference w:type="default" r:id="rId7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9F160" w14:textId="77777777" w:rsidR="000806A9" w:rsidRDefault="000806A9" w:rsidP="000806A9">
      <w:r>
        <w:separator/>
      </w:r>
    </w:p>
  </w:endnote>
  <w:endnote w:type="continuationSeparator" w:id="0">
    <w:p w14:paraId="0DA1168E" w14:textId="77777777" w:rsidR="000806A9" w:rsidRDefault="000806A9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725C3" w14:textId="5A447763" w:rsidR="000806A9" w:rsidRPr="00C05F76" w:rsidRDefault="00C05F76" w:rsidP="00C05F76">
    <w:pPr>
      <w:pStyle w:val="Footer"/>
      <w:jc w:val="right"/>
    </w:pPr>
    <w:r>
      <w:rPr>
        <w:rFonts w:ascii="Times New Roman" w:hAnsi="Times New Roman" w:cs="Times New Roman"/>
        <w:sz w:val="20"/>
      </w:rPr>
      <w:t>© 2018 Alpha Plus Systems,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58CD8" w14:textId="77777777" w:rsidR="000806A9" w:rsidRDefault="000806A9" w:rsidP="000806A9">
      <w:r>
        <w:separator/>
      </w:r>
    </w:p>
  </w:footnote>
  <w:footnote w:type="continuationSeparator" w:id="0">
    <w:p w14:paraId="4310B659" w14:textId="77777777" w:rsidR="000806A9" w:rsidRDefault="000806A9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3E419" w14:textId="30C47980" w:rsidR="00C97DAB" w:rsidRDefault="00C97D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7600EF" wp14:editId="037025FC">
          <wp:simplePos x="0" y="0"/>
          <wp:positionH relativeFrom="column">
            <wp:posOffset>3810</wp:posOffset>
          </wp:positionH>
          <wp:positionV relativeFrom="paragraph">
            <wp:posOffset>-190500</wp:posOffset>
          </wp:positionV>
          <wp:extent cx="1463040" cy="402590"/>
          <wp:effectExtent l="0" t="0" r="3810" b="0"/>
          <wp:wrapTight wrapText="bothSides">
            <wp:wrapPolygon edited="0">
              <wp:start x="0" y="0"/>
              <wp:lineTo x="0" y="20442"/>
              <wp:lineTo x="21375" y="20442"/>
              <wp:lineTo x="21375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501A6"/>
    <w:rsid w:val="00074C72"/>
    <w:rsid w:val="000806A9"/>
    <w:rsid w:val="0009405B"/>
    <w:rsid w:val="000C35CF"/>
    <w:rsid w:val="000D3C44"/>
    <w:rsid w:val="000D6640"/>
    <w:rsid w:val="00104B79"/>
    <w:rsid w:val="001A00AC"/>
    <w:rsid w:val="00213AE2"/>
    <w:rsid w:val="002308D8"/>
    <w:rsid w:val="0023387A"/>
    <w:rsid w:val="00270783"/>
    <w:rsid w:val="002C26DE"/>
    <w:rsid w:val="00307927"/>
    <w:rsid w:val="003D48D2"/>
    <w:rsid w:val="004157BF"/>
    <w:rsid w:val="004811AB"/>
    <w:rsid w:val="005177A7"/>
    <w:rsid w:val="00566E44"/>
    <w:rsid w:val="005E1890"/>
    <w:rsid w:val="00654C1F"/>
    <w:rsid w:val="006745F4"/>
    <w:rsid w:val="007A74AE"/>
    <w:rsid w:val="008E3718"/>
    <w:rsid w:val="0090595A"/>
    <w:rsid w:val="009627B4"/>
    <w:rsid w:val="009A5BF9"/>
    <w:rsid w:val="009D6ED9"/>
    <w:rsid w:val="009F05B6"/>
    <w:rsid w:val="00A42396"/>
    <w:rsid w:val="00A61A60"/>
    <w:rsid w:val="00A80D35"/>
    <w:rsid w:val="00AF33DB"/>
    <w:rsid w:val="00BF027E"/>
    <w:rsid w:val="00BF5579"/>
    <w:rsid w:val="00C00B0B"/>
    <w:rsid w:val="00C05F76"/>
    <w:rsid w:val="00C25540"/>
    <w:rsid w:val="00C2596C"/>
    <w:rsid w:val="00C97DAB"/>
    <w:rsid w:val="00D347F7"/>
    <w:rsid w:val="00EF10DD"/>
    <w:rsid w:val="00F216EF"/>
    <w:rsid w:val="00F3785C"/>
    <w:rsid w:val="00F61BC2"/>
    <w:rsid w:val="00F775BC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B32E74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5E1890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2017-02-08T18:34:00Z</cp:lastPrinted>
  <dcterms:created xsi:type="dcterms:W3CDTF">2018-10-17T19:41:00Z</dcterms:created>
  <dcterms:modified xsi:type="dcterms:W3CDTF">2018-10-17T20:25:00Z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